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18.10.2023 N 804</w:t>
              <w:br/>
              <w:t xml:space="preserve">"Об утверждении Порядка приемки в эксплуатацию мелиоративных систем, отдельно расположенных гидротехнических сооружений"</w:t>
              <w:br/>
              <w:t xml:space="preserve">(Зарегистрировано в Минюсте России 01.12.2023 N 76226)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декабря 2023 г. N 76226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октября 2023 г. N 804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ПРИЕМКИ В ЭКСПЛУАТАЦИЮ МЕЛИОРАТИВНЫХ СИСТЕМ, ОТДЕЛЬНО</w:t>
      </w:r>
    </w:p>
    <w:p>
      <w:pPr>
        <w:pStyle w:val="2"/>
        <w:jc w:val="center"/>
      </w:pPr>
      <w:r>
        <w:rPr>
          <w:sz w:val="20"/>
        </w:rPr>
        <w:t xml:space="preserve">РАСПОЛОЖЕННЫХ ГИДРОТЕХНИЧЕСКИХ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0.01.1996 N 4-ФЗ (ред. от 25.12.2023) &quot;О мелиорации земель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 от 10 января 1996 г. N 4-ФЗ "О мелиорации земель" и на основании </w:t>
      </w:r>
      <w:hyperlink w:history="0" r:id="rId8" w:tooltip="Постановление Правительства РФ от 12.06.2008 N 450 (ред. от 30.11.2023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12.06.2008 N 450 (ред. от 30.11.2023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подпункта 5.2.13 пункта 5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приемки в эксплуатацию мелиоративных систем, отдельно расположенных гидротехнических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сельхоза России от 02.04.2020 N 175 &quot;Об утверждении Порядка приемки в эксплуатацию мелиоративных систем, отдельно расположенных гидротехнических сооружений и защитных лесных насаждений&quot; (Зарегистрировано в Минюсте России 02.06.2020 N 5853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сельского хозяйства Российской Федерации от 2 апреля 2020 г. N 175 "Об утверждении Порядка приемки в эксплуатацию мелиоративных систем, отдельно расположенных гидротехнических сооружений и защитных лесных насаждений" (зарегистрирован Министерством юстиции Российской Федерации 2 июня 2020 г., регистрационный N 58535).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2024 г. и действует до 1 марта 2030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18 октября 2023 г. N 804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ПРИЕМКИ В ЭКСПЛУАТАЦИЮ МЕЛИОРАТИВНЫХ СИСТЕМ, ОТДЕЛЬНО</w:t>
      </w:r>
    </w:p>
    <w:p>
      <w:pPr>
        <w:pStyle w:val="2"/>
        <w:jc w:val="center"/>
      </w:pPr>
      <w:r>
        <w:rPr>
          <w:sz w:val="20"/>
        </w:rPr>
        <w:t xml:space="preserve">РАСПОЛОЖЕННЫХ ГИДРОТЕХНИЧЕСКИХ СООРУЖЕНИЙ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Приемка в эксплуатацию отдельно расположенных гидротехнических сооружений и мелиоративных систем, за исключением агролесомелиоративных насаждений, осуществляется в соответствии с законодательством о градостроительной деятельности и законодательством о безопасности гидротехнических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Приемка в эксплуатацию агролесомелиоративных насаждений осуществляется федеральными государственными бюджетными учреждениями по мелиорации земель и сельскохозяйственному водоснабжению, находящимися в ведении Министерства сельского хозяйства Российской Федерации (далее - уполномоченные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уполномоченных организациях размещается на официальном сайте Министерства сельского хозяйства Российской Федерации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Приемка в эксплуатацию агролесомелиоративных насаждений оформляется совместным актом уполномоченной организации и собственника земельного участка, на котором расположены агролесомелиоративные насаждения (далее - заявитель).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осуществления приемки в эксплуатацию агролесомелиоративных насаждений по результатам проведенных мелиоративных мероприятий по созданию таких агролесомелиоративных насаждений заявитель представляет в уполномоченную организацию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сопроводительное письмо о приемке в эксплуатацию агролесомелиоративных насаждений, составленное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утвержденного проекта мелиорации земель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сельхоза России от 15.05.2019 N 255 &quot;Об утверждении Порядка разработки, согласования и утверждения проектов мелиорации земель&quot; (Зарегистрировано в Минюсте России 03.10.2019 N 5611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сельского хозяйства Российской Федерации от 15 мая 2019 г. N 255 "Об утверждении Порядка разработки, согласования и утверждения проектов мелиорации земель" (зарегистрирован Министерством юстиции Российской Федерации 3 октября 2019 г., регистрационный N 56119).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схема фактического размещения агролесомелиоративных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два экземпляра акта приемки в эксплуатацию агролесомелиоративных насаждений (далее - акт), подписанного заявителем (рекомендуемый образец приведен в </w:t>
      </w:r>
      <w:hyperlink w:history="0" w:anchor="P85" w:tooltip="АКТ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указанные в </w:t>
      </w:r>
      <w:hyperlink w:history="0" w:anchor="P37" w:tooltip="4. В целях осуществления приемки в эксплуатацию агролесомелиоративных насаждений по результатам проведенных мелиоративных мероприятий по созданию таких агролесомелиоративных насаждений заявитель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 (далее - документы), представляются заявителем в уполномоченную организацию в виде электронных документов, подписанных электронной подписью заявителя (лица, его замещающего, с приложением документов, подтверждающих полномочия такого лица) в соответствии с требованиями Федерального </w:t>
      </w:r>
      <w:hyperlink w:history="0" r:id="rId1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подписи", через официальный сайт уполномоченной организации в информационно-телекоммуникационной сети "Интернет".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невозможности представления заявителем документов в соответствии с требованиями </w:t>
      </w:r>
      <w:hyperlink w:history="0" w:anchor="P45" w:tooltip="5. Документы, указанные в пункте 4 настоящего Порядка (далее - документы), представляются заявителем в уполномоченную организацию в виде электронных документов, подписанных электронной подписью заявителя (лица, его замещающего, с приложением документов, подтверждающих полномочия такого лица) в соответствии с требованиями Федерального закона от 6 апреля 2011 г. N 63-ФЗ &quot;Об электронной подписи&quot;, через официальный сайт уполномоченной организации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настоящего Порядка такие документы представляются в уполномоченную организацию на бумажном и (или) электронном носителях. Документы на электронном носителе представляются на оптическом носителе (CD/DVD) или флеш-накопителе USB в виде файлов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составленные на бумажном носителе, должны быть пронумерованы постранично, скреплены печатью (при наличии), подписаны заявителем (его уполномоченным представителем с приложением документов, подтверждающих полномочия такого лица) и направлены в уполномоченную организацию заказным почтовым отправлением с уведомлением о вручении.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 подлежат рассмотрению уполномоченной организацией документы при наличии хотя бы одного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содержащие подчистки, помарки, приписки, зачеркнутые слова, повреждения и (или) иные исправления;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соответствующие требованиям, указанным в </w:t>
      </w:r>
      <w:hyperlink w:history="0" w:anchor="P45" w:tooltip="5. Документы, указанные в пункте 4 настоящего Порядка (далее - документы), представляются заявителем в уполномоченную организацию в виде электронных документов, подписанных электронной подписью заявителя (лица, его замещающего, с приложением документов, подтверждающих полномочия такого лица) в соответствии с требованиями Федерального закона от 6 апреля 2011 г. N 63-ФЗ &quot;Об электронной подписи&quot;, через официальный сайт уполномоченной организации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или </w:t>
      </w:r>
      <w:hyperlink w:history="0" w:anchor="P46" w:tooltip="6. В случае невозможности представления заявителем документов в соответствии с требованиями пункта 5 настоящего Порядка такие документы представляются в уполномоченную организацию на бумажном и (или) электронном носителях. Документы на электронном носителе представляются на оптическом носителе (CD/DVD) или флеш-накопителе USB в виде файлов в формате PDF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исполненные карандашом и (или) не позволяющие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представленных в электронном виде);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представление неполного комплекта документов, предусмотренного </w:t>
      </w:r>
      <w:hyperlink w:history="0" w:anchor="P37" w:tooltip="4. В целях осуществления приемки в эксплуатацию агролесомелиоративных насаждений по результатам проведенных мелиоративных мероприятий по созданию таких агролесомелиоративных насаждений заявитель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Представленные заявителем документы в день их поступления регистрируются уполномоченной организацией.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рассмотрения документов составляет не более двадцати трех рабочих дней со дня их регистрации в уполномоченной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оснований для отказа в рассмотрении документов, предусмотренных в </w:t>
      </w:r>
      <w:hyperlink w:history="0" w:anchor="P48" w:tooltip="7. Не подлежат рассмотрению уполномоченной организацией документы при наличии хотя бы одного из следующих основан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уполномоченная организация в течение двух рабочих дней с даты их регистрации в уполномоченной организации сообщает об этом заявителю письмом в электронной форме, которое направляется посредством электронной почты, или в случае представления документов в соответствии с </w:t>
      </w:r>
      <w:hyperlink w:history="0" w:anchor="P46" w:tooltip="6. В случае невозможности представления заявителем документов в соответствии с требованиями пункта 5 настоящего Порядка такие документы представляются в уполномоченную организацию на бумажном и (или) электронном носителях. Документы на электронном носителе представляются на оптическом носителе (CD/DVD) или флеш-накопителе USB в виде файлов в формате PDF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 возвращает их заявителю заказным письмом с уведомлением о вручении с указанием причин такого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Заявитель повторно в соответствии с </w:t>
      </w:r>
      <w:hyperlink w:history="0" w:anchor="P37" w:tooltip="4. В целях осуществления приемки в эксплуатацию агролесомелиоративных насаждений по результатам проведенных мелиоративных мероприятий по созданию таких агролесомелиоративных насаждений заявитель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46" w:tooltip="6. В случае невозможности представления заявителем документов в соответствии с требованиями пункта 5 настоящего Порядка такие документы представляются в уполномоченную организацию на бумажном и (или) электронном носителях. Документы на электронном носителе представляются на оптическом носителе (CD/DVD) или флеш-накопителе USB в виде файлов в формате PDF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 представляет документы на рассмотрение в уполномоченную организацию после устранения причин, послуживших основанием для отказа в их рассмотрении.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отсутствия оснований для отказа в рассмотрении документов, предусмотренных </w:t>
      </w:r>
      <w:hyperlink w:history="0" w:anchor="P48" w:tooltip="7. Не подлежат рассмотрению уполномоченной организацией документы при наличии хотя бы одного из следующих оснований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уполномоченная организация в течение срока, установленного </w:t>
      </w:r>
      <w:hyperlink w:history="0" w:anchor="P55" w:tooltip="9. Срок рассмотрения документов составляет не более двадцати трех рабочих дней со дня их регистрации в уполномоченной организации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осуществляет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проверку сведений, содержащихся в акте, на соответствие сведениям, содержащимся в иных документах, представленных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проверку достоверности содержащихся в акте сведений путем сверки с документами и (или) информацией, имеющимися у уполномоченной организации и (или) полученными от органов государственной власти субъектов Российской Федерации, органов местного самоуправления, иных федеральных государственных бюджетных учреждений по мелиорации земель и сельскохозяйственному водоснабжению и федеральных государственных бюджетных учреждений по эксплуатации каналов и гидроузлов межрегионального значения.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Уполномоченная организация принимает решение об отказе в приемке в эксплуатацию агролесомелиоративных насаждений при наличии хотя бы одного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содержащаяся в документах информация является неполной и (или) недостоверной;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созданных агролесомелиоративных насаждениях, содержащиеся в акте, не соответствуют сведениям о таких насаждениях, содержащимся в утвержденном заявителем проекте мелиорации земель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Приказ Минсельхоза России от 15.05.2019 N 255 &quot;Об утверждении Порядка разработки, согласования и утверждения проектов мелиорации земель&quot; (Зарегистрировано в Минюсте России 03.10.2019 N 56119)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Порядка разработки, согласования и утверждения проектов мелиорации земель, утвержденного приказом Министерства сельского хозяйства Российской Федерации от 15 мая 2019 г. N 255.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14. В случае отсутствия оснований для отказа в приемке в эксплуатацию агролесомелиоративных насаждений, указанных в </w:t>
      </w:r>
      <w:hyperlink w:history="0" w:anchor="P61" w:tooltip="13. Уполномоченная организация принимает решение об отказе в приемке в эксплуатацию агролесомелиоративных насаждений при наличии хотя бы одного из следующих оснований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уполномоченная организация не позднее срока, указанного в </w:t>
      </w:r>
      <w:hyperlink w:history="0" w:anchor="P55" w:tooltip="9. Срок рассмотрения документов составляет не более двадцати трех рабочих дней со дня их регистрации в уполномоченной организации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принимает решение о приемке в эксплуатацию агролесомелиоративных насаждений и подписывает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акта, а также все представленные заявителем документы хранятся в уполномоченной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двух рабочих дней со дня принятия решения, указанного в </w:t>
      </w:r>
      <w:hyperlink w:history="0" w:anchor="P61" w:tooltip="13. Уполномоченная организация принимает решение об отказе в приемке в эксплуатацию агролесомелиоративных насаждений при наличии хотя бы одного из следующих оснований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или </w:t>
      </w:r>
      <w:hyperlink w:history="0" w:anchor="P67" w:tooltip="14. В случае отсутствия оснований для отказа в приемке в эксплуатацию агролесомелиоративных насаждений, указанных в пункте 13 настоящего Порядка, уполномоченная организация не позднее срока, указанного в пункте 9 настоящего Порядка, принимает решение о приемке в эксплуатацию агролесомелиоративных насаждений и подписывает акт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Порядка, уполномоченная организация направляет в адрес заявителя в форме, в которой поступили документы от заявителя, письмо, содержащее мотивированный отказ в приемке в эксплуатацию агролесомелиоративных насаждений, или письмо с приложением одного экземпляра акта, подписанного уполномоченной организацией.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приемки в эксплуатацию</w:t>
      </w:r>
    </w:p>
    <w:p>
      <w:pPr>
        <w:pStyle w:val="0"/>
        <w:jc w:val="right"/>
      </w:pPr>
      <w:r>
        <w:rPr>
          <w:sz w:val="20"/>
        </w:rPr>
        <w:t xml:space="preserve">мелиоративных систем, отдельно</w:t>
      </w:r>
    </w:p>
    <w:p>
      <w:pPr>
        <w:pStyle w:val="0"/>
        <w:jc w:val="right"/>
      </w:pPr>
      <w:r>
        <w:rPr>
          <w:sz w:val="20"/>
        </w:rPr>
        <w:t xml:space="preserve">расположенных гидротехнических</w:t>
      </w:r>
    </w:p>
    <w:p>
      <w:pPr>
        <w:pStyle w:val="0"/>
        <w:jc w:val="right"/>
      </w:pPr>
      <w:r>
        <w:rPr>
          <w:sz w:val="20"/>
        </w:rPr>
        <w:t xml:space="preserve">сооружений,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18 октября 2023 г. N 804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3"/>
        <w:gridCol w:w="1132"/>
        <w:gridCol w:w="509"/>
        <w:gridCol w:w="454"/>
        <w:gridCol w:w="1901"/>
        <w:gridCol w:w="494"/>
        <w:gridCol w:w="610"/>
        <w:gridCol w:w="949"/>
        <w:gridCol w:w="2069"/>
        <w:gridCol w:w="420"/>
      </w:tblGrid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bookmarkStart w:id="85" w:name="P85"/>
          <w:bookmarkEnd w:id="85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приемки в эксплуатацию агролесомелиоративных насаждений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г. ________</w:t>
            </w:r>
          </w:p>
        </w:tc>
        <w:tc>
          <w:tcPr>
            <w:gridSpan w:val="3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 __________ 20__ г.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Наименование агролесомелиоративного насаждения (далее - объект):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 наименования)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Адрес (место нахождения) объекта: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(населенный пункт)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Кадастровый номер земельного участка, на котором расположен объект (при наличии):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Вид разрешенного использования земельного участка (при наличии):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Площадь земельного участка (при наличии):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Номер земельного участка, на котором расположен объект, в реестре земель сельскохозяйственного назначения (при наличии):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приемки в эксплуатацию объекта:</w:t>
            </w:r>
          </w:p>
        </w:tc>
      </w:tr>
      <w:tr>
        <w:tc>
          <w:tcPr>
            <w:tcW w:w="51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85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9"/>
            <w:tcW w:w="85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наименовании организации, находящейся в ведении Министерства сельского хозяйства Российской Федерации, осуществляющей приемку в эксплуатацию объекта (далее - уполномоченная организация)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(представители) уполномоченной организации:</w:t>
            </w:r>
          </w:p>
        </w:tc>
      </w:tr>
      <w:tr>
        <w:tc>
          <w:tcPr>
            <w:gridSpan w:val="9"/>
            <w:tcW w:w="86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 (при наличии)</w:t>
            </w:r>
          </w:p>
        </w:tc>
      </w:tr>
      <w:tr>
        <w:tc>
          <w:tcPr>
            <w:tcW w:w="51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8"/>
            <w:tcW w:w="8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9"/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 с указанием организационно-правовой формы (фамилия, имя, отчество (при наличии) физического лица), являющейся (являющегося) собственником земельного участка, на котором располагается объект (далее - владелец объекта)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документа, удостоверяющего право собственности на земельный участок: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Основание приобретения и регистрации права собственности на земельный участок: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характеристика объекта: </w:t>
            </w:r>
            <w:hyperlink w:history="0" w:anchor="P183" w:tooltip="&lt;*&gt; Общая характеристика объекта, в том числе протяженность, ширина, площадь, год создания (при наличии), вид агролесомелиоративных насаждений (противоэрозионные, полезащитные, пастбищезащитные), породный и возрастной состав, в том числе главные лесные и сопутствующие древесные породы (допускается в виде приложения к настоящему акту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мелиорации земель: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проекта мелиорации земель)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мелиорации земель</w:t>
            </w:r>
          </w:p>
        </w:tc>
      </w:tr>
      <w:tr>
        <w:tc>
          <w:tcPr>
            <w:gridSpan w:val="2"/>
            <w:tcW w:w="16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разработан:</w:t>
            </w:r>
          </w:p>
        </w:tc>
        <w:tc>
          <w:tcPr>
            <w:gridSpan w:val="8"/>
            <w:tcW w:w="74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8"/>
            <w:tcW w:w="74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организации)</w:t>
            </w:r>
          </w:p>
        </w:tc>
      </w:tr>
      <w:tr>
        <w:tc>
          <w:tcPr>
            <w:gridSpan w:val="2"/>
            <w:tcW w:w="16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согласован:</w:t>
            </w:r>
          </w:p>
        </w:tc>
        <w:tc>
          <w:tcPr>
            <w:gridSpan w:val="8"/>
            <w:tcW w:w="74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8"/>
            <w:tcW w:w="74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и N (при наличии) согласования, сокращенное наименование организации, согласовавшей проект мелиорации земель)</w:t>
            </w:r>
          </w:p>
        </w:tc>
      </w:tr>
      <w:tr>
        <w:tc>
          <w:tcPr>
            <w:gridSpan w:val="2"/>
            <w:tcW w:w="16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утвержден:</w:t>
            </w:r>
          </w:p>
        </w:tc>
        <w:tc>
          <w:tcPr>
            <w:gridSpan w:val="8"/>
            <w:tcW w:w="74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8"/>
            <w:tcW w:w="74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организации, дата и N (при наличии) утверждения)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ходе приемки в эксплуатацию объекта установлено: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(информация о соответствии/несоответствии принимаемого в эксплуатацию объекта проекту мелиорации земель)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 приемке в эксплуатацию объекта: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 участников приемки в эксплуатацию объекта: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(представители) уполномоченной организации:</w:t>
            </w:r>
          </w:p>
        </w:tc>
      </w:tr>
      <w:tr>
        <w:tc>
          <w:tcPr>
            <w:gridSpan w:val="3"/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40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4"/>
            <w:tcW w:w="40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  <w:tr>
        <w:tc>
          <w:tcPr>
            <w:gridSpan w:val="3"/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4"/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Владелец объекта:</w:t>
            </w:r>
          </w:p>
        </w:tc>
      </w:tr>
      <w:tr>
        <w:tc>
          <w:tcPr>
            <w:gridSpan w:val="10"/>
            <w:tcW w:w="90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наличии), должность уполномоченного представителя организации либо фамилия, имя, отчество (при наличии) физического лица, являющейся (являющегося) владельцем объекта)</w:t>
            </w:r>
          </w:p>
        </w:tc>
      </w:tr>
      <w:tr>
        <w:tc>
          <w:tcPr>
            <w:gridSpan w:val="8"/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8"/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Общая характеристика объекта, в том числе протяженность, ширина, площадь, год создания (при наличии), вид агролесомелиоративных насаждений (противоэрозионные, полезащитные, пастбищезащитные), породный и возрастной состав, в том числе главные лесные и сопутствующие древесные породы (допускается в виде приложения к настоящему акту).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18.10.2023 N 804</w:t>
            <w:br/>
            <w:t>"Об утверждении Порядка приемки в эксплуатацию мелиоративных систем, отдел...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5795&amp;dst=140" TargetMode = "External"/>
	<Relationship Id="rId8" Type="http://schemas.openxmlformats.org/officeDocument/2006/relationships/hyperlink" Target="https://login.consultant.ru/link/?req=doc&amp;base=LAW&amp;n=463343&amp;dst=323" TargetMode = "External"/>
	<Relationship Id="rId9" Type="http://schemas.openxmlformats.org/officeDocument/2006/relationships/hyperlink" Target="https://login.consultant.ru/link/?req=doc&amp;base=LAW&amp;n=463343&amp;dst=100053" TargetMode = "External"/>
	<Relationship Id="rId10" Type="http://schemas.openxmlformats.org/officeDocument/2006/relationships/hyperlink" Target="https://login.consultant.ru/link/?req=doc&amp;base=LAW&amp;n=354193" TargetMode = "External"/>
	<Relationship Id="rId11" Type="http://schemas.openxmlformats.org/officeDocument/2006/relationships/hyperlink" Target="https://login.consultant.ru/link/?req=doc&amp;base=LAW&amp;n=334745" TargetMode = "External"/>
	<Relationship Id="rId12" Type="http://schemas.openxmlformats.org/officeDocument/2006/relationships/hyperlink" Target="https://login.consultant.ru/link/?req=doc&amp;base=LAW&amp;n=454305" TargetMode = "External"/>
	<Relationship Id="rId13" Type="http://schemas.openxmlformats.org/officeDocument/2006/relationships/hyperlink" Target="https://login.consultant.ru/link/?req=doc&amp;base=LAW&amp;n=334745&amp;dst=1000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18.10.2023 N 804
"Об утверждении Порядка приемки в эксплуатацию мелиоративных систем, отдельно расположенных гидротехнических сооружений"
(Зарегистрировано в Минюсте России 01.12.2023 N 76226)</dc:title>
  <dcterms:created xsi:type="dcterms:W3CDTF">2024-01-29T08:49:32Z</dcterms:created>
</cp:coreProperties>
</file>